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5E51B414"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16274F" w:rsidRPr="0016274F">
        <w:rPr>
          <w:rFonts w:cs="Arial"/>
          <w:b/>
          <w:sz w:val="23"/>
          <w:szCs w:val="23"/>
        </w:rPr>
        <w:t>05310002.000065/2024-95</w:t>
      </w:r>
      <w:r w:rsidR="0016274F">
        <w:rPr>
          <w:rFonts w:cs="Arial"/>
          <w:b/>
          <w:sz w:val="23"/>
          <w:szCs w:val="23"/>
        </w:rPr>
        <w:t xml:space="preserve"> </w:t>
      </w:r>
      <w:r w:rsidRPr="00FD6DF4">
        <w:rPr>
          <w:rFonts w:cs="Arial"/>
          <w:b/>
          <w:sz w:val="23"/>
          <w:szCs w:val="23"/>
        </w:rPr>
        <w:t xml:space="preserve">- PREGÃO ELETRÔNICO - PE Nº </w:t>
      </w:r>
      <w:r w:rsidR="0016274F">
        <w:rPr>
          <w:rFonts w:cs="Arial"/>
          <w:b/>
          <w:sz w:val="23"/>
          <w:szCs w:val="23"/>
        </w:rPr>
        <w:t>90004/2024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463A9"/>
    <w:rsid w:val="0016274F"/>
    <w:rsid w:val="00174E8E"/>
    <w:rsid w:val="001B3723"/>
    <w:rsid w:val="0028079D"/>
    <w:rsid w:val="002826D7"/>
    <w:rsid w:val="003422C6"/>
    <w:rsid w:val="0039606A"/>
    <w:rsid w:val="00427668"/>
    <w:rsid w:val="00482511"/>
    <w:rsid w:val="005A23D3"/>
    <w:rsid w:val="005B1645"/>
    <w:rsid w:val="005D015F"/>
    <w:rsid w:val="005F2033"/>
    <w:rsid w:val="00673FF1"/>
    <w:rsid w:val="00756103"/>
    <w:rsid w:val="00796673"/>
    <w:rsid w:val="00822671"/>
    <w:rsid w:val="00831501"/>
    <w:rsid w:val="0084294E"/>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Aline Polliana</cp:lastModifiedBy>
  <cp:revision>3</cp:revision>
  <cp:lastPrinted>2023-08-31T18:31:00Z</cp:lastPrinted>
  <dcterms:created xsi:type="dcterms:W3CDTF">2023-09-12T19:02:00Z</dcterms:created>
  <dcterms:modified xsi:type="dcterms:W3CDTF">2024-02-20T20:16:00Z</dcterms:modified>
</cp:coreProperties>
</file>